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b/>
          <w:bCs/>
          <w:color w:val="3C4858"/>
          <w:sz w:val="24"/>
          <w:szCs w:val="24"/>
          <w:u w:val="single"/>
          <w:lang w:eastAsia="tr-TR"/>
        </w:rPr>
        <w:t>Tam Metin Hazırlama ile İlgili Dikkate Alınması Gereken Hususlar</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Kongrede sözlü ya da poster olarak sunulan tüm bildirilerin tam metinleri YÖK’ün Ulusal Yayınevi özelliklerini taşıyan SİDAS yayınevi tarafından, ISBN numarasına sahip </w:t>
      </w:r>
      <w:r w:rsidRPr="00096EF6">
        <w:rPr>
          <w:rFonts w:eastAsia="Times New Roman" w:cstheme="minorHAnsi"/>
          <w:b/>
          <w:bCs/>
          <w:color w:val="3C4858"/>
          <w:sz w:val="24"/>
          <w:szCs w:val="24"/>
          <w:lang w:eastAsia="tr-TR"/>
        </w:rPr>
        <w:t>“</w:t>
      </w:r>
      <w:proofErr w:type="spellStart"/>
      <w:r>
        <w:rPr>
          <w:rFonts w:eastAsia="Times New Roman" w:cstheme="minorHAnsi"/>
          <w:b/>
          <w:bCs/>
          <w:color w:val="3C4858"/>
          <w:sz w:val="24"/>
          <w:szCs w:val="24"/>
          <w:lang w:eastAsia="tr-TR"/>
        </w:rPr>
        <w:t>xxxxxxxxxxxxxxxxxxxxxxxxxxxxxxxxxxxxx</w:t>
      </w:r>
      <w:proofErr w:type="spellEnd"/>
      <w:r w:rsidRPr="00096EF6">
        <w:rPr>
          <w:rFonts w:eastAsia="Times New Roman" w:cstheme="minorHAnsi"/>
          <w:b/>
          <w:bCs/>
          <w:color w:val="3C4858"/>
          <w:sz w:val="24"/>
          <w:szCs w:val="24"/>
          <w:lang w:eastAsia="tr-TR"/>
        </w:rPr>
        <w:t>”</w:t>
      </w:r>
      <w:r w:rsidRPr="00096EF6">
        <w:rPr>
          <w:rFonts w:eastAsia="Times New Roman" w:cstheme="minorHAnsi"/>
          <w:color w:val="3C4858"/>
          <w:sz w:val="24"/>
          <w:szCs w:val="24"/>
          <w:lang w:eastAsia="tr-TR"/>
        </w:rPr>
        <w:t> isimli bir e-kitapta kitap bölümü olarak basılacaktır. Bu sebeple tam metinler hazırlanırken özellikle dikkate alınması gereken hususlar:</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 Gönderilen metin daha önceden yayınlanmamış veya yayımlanmak üzere herhangi bir dergiye gönderilmemiş olmalıdır.</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b/>
          <w:bCs/>
          <w:color w:val="3C4858"/>
          <w:sz w:val="24"/>
          <w:szCs w:val="24"/>
          <w:lang w:eastAsia="tr-TR"/>
        </w:rPr>
        <w:t xml:space="preserve">– Tam metni göndermeden önce benzerlik açısından kontrol ediniz. Benzerlik oranı %20 üzerinde olmamalıdır. Yazarlar tam metinleri gönderirken ek olarak benzerlik raporunu da iletmelidir. Tam metinler ve benzerlik raporu </w:t>
      </w:r>
      <w:proofErr w:type="spellStart"/>
      <w:r>
        <w:rPr>
          <w:rFonts w:eastAsia="Times New Roman" w:cstheme="minorHAnsi"/>
          <w:b/>
          <w:bCs/>
          <w:color w:val="3C4858"/>
          <w:sz w:val="24"/>
          <w:szCs w:val="24"/>
          <w:lang w:eastAsia="tr-TR"/>
        </w:rPr>
        <w:t>xxxxxxx@xxxxxxxxx</w:t>
      </w:r>
      <w:proofErr w:type="spellEnd"/>
      <w:r w:rsidRPr="00096EF6">
        <w:rPr>
          <w:rFonts w:eastAsia="Times New Roman" w:cstheme="minorHAnsi"/>
          <w:b/>
          <w:bCs/>
          <w:color w:val="3C4858"/>
          <w:sz w:val="24"/>
          <w:szCs w:val="24"/>
          <w:lang w:eastAsia="tr-TR"/>
        </w:rPr>
        <w:t xml:space="preserve"> adresine iletilmelidir.</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b/>
          <w:bCs/>
          <w:color w:val="3C4858"/>
          <w:sz w:val="24"/>
          <w:szCs w:val="24"/>
          <w:u w:val="single"/>
          <w:lang w:eastAsia="tr-TR"/>
        </w:rPr>
        <w:t>Yazım Kuralları</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Tam Metinler MS Word dosyası olarak gönderilmelidir.</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Tam metin, çizelge ve şekiller ve kayn</w:t>
      </w:r>
      <w:r>
        <w:rPr>
          <w:rFonts w:eastAsia="Times New Roman" w:cstheme="minorHAnsi"/>
          <w:color w:val="3C4858"/>
          <w:sz w:val="24"/>
          <w:szCs w:val="24"/>
          <w:lang w:eastAsia="tr-TR"/>
        </w:rPr>
        <w:t xml:space="preserve">aklar </w:t>
      </w:r>
      <w:proofErr w:type="gramStart"/>
      <w:r>
        <w:rPr>
          <w:rFonts w:eastAsia="Times New Roman" w:cstheme="minorHAnsi"/>
          <w:color w:val="3C4858"/>
          <w:sz w:val="24"/>
          <w:szCs w:val="24"/>
          <w:lang w:eastAsia="tr-TR"/>
        </w:rPr>
        <w:t>dahil</w:t>
      </w:r>
      <w:proofErr w:type="gramEnd"/>
      <w:r>
        <w:rPr>
          <w:rFonts w:eastAsia="Times New Roman" w:cstheme="minorHAnsi"/>
          <w:color w:val="3C4858"/>
          <w:sz w:val="24"/>
          <w:szCs w:val="24"/>
          <w:lang w:eastAsia="tr-TR"/>
        </w:rPr>
        <w:t xml:space="preserve"> olmak üzere 7 ila 10</w:t>
      </w:r>
      <w:r w:rsidRPr="00096EF6">
        <w:rPr>
          <w:rFonts w:eastAsia="Times New Roman" w:cstheme="minorHAnsi"/>
          <w:color w:val="3C4858"/>
          <w:sz w:val="24"/>
          <w:szCs w:val="24"/>
          <w:lang w:eastAsia="tr-TR"/>
        </w:rPr>
        <w:t xml:space="preserve"> sayfa arasında olmalıdır.</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Font 10 punto Times New Roman yazı tipi, tek satır aralığı kullanılmalı,</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Metin her iki yana yaslı olmalı, paragraf ve bölümler arasında bir boş satır bırakılmalı,</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K</w:t>
      </w:r>
      <w:r w:rsidR="00031AEC">
        <w:rPr>
          <w:rFonts w:eastAsia="Times New Roman" w:cstheme="minorHAnsi"/>
          <w:color w:val="3C4858"/>
          <w:sz w:val="24"/>
          <w:szCs w:val="24"/>
          <w:lang w:eastAsia="tr-TR"/>
        </w:rPr>
        <w:t>itap ebat: (17 cm X 24 cm) sayfa söz konusu</w:t>
      </w:r>
      <w:r w:rsidRPr="00096EF6">
        <w:rPr>
          <w:rFonts w:eastAsia="Times New Roman" w:cstheme="minorHAnsi"/>
          <w:color w:val="3C4858"/>
          <w:sz w:val="24"/>
          <w:szCs w:val="24"/>
          <w:lang w:eastAsia="tr-TR"/>
        </w:rPr>
        <w:t xml:space="preserve"> ölçüye getirilmeli</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Sayfanın dört etrafından 1,8 şer cm boşluk bırakılmalı</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Araştırma makalesi bölümleri: Türkçe ve İngilizce Özet, Giriş, Materyal ve Metot, Bulgular ve Tartışma, Kaynaklar</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Derleme makalesi bölümleri: Özet, Giriş, Gelişme, Sonuç ve Kaynaklar</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Makale başlığı 14 punto, koyu ve ortalı olarak yazılmalı, yazarların tam adları (12punto), adres bilgileri için üst simge numaralandırma yapılmalı, adres bilgileri yazar adlarından sonra yer almalı, sorumlu yazarın tam iletişim bilgilerine yer verilmelidir.</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Çizelge ve şekiller yazar</w:t>
      </w:r>
      <w:r w:rsidR="00031AEC">
        <w:rPr>
          <w:rFonts w:eastAsia="Times New Roman" w:cstheme="minorHAnsi"/>
          <w:color w:val="3C4858"/>
          <w:sz w:val="24"/>
          <w:szCs w:val="24"/>
          <w:lang w:eastAsia="tr-TR"/>
        </w:rPr>
        <w:t xml:space="preserve"> tarafından oluşturulmalı, direkt alıntı veya görsel</w:t>
      </w:r>
      <w:r w:rsidRPr="00096EF6">
        <w:rPr>
          <w:rFonts w:eastAsia="Times New Roman" w:cstheme="minorHAnsi"/>
          <w:color w:val="3C4858"/>
          <w:sz w:val="24"/>
          <w:szCs w:val="24"/>
          <w:lang w:eastAsia="tr-TR"/>
        </w:rPr>
        <w:t xml:space="preserve"> olmamalıdır. Kaynak gösterilmelidir.</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Çizelge başlıkları, çizelgenin üzerinde belirtilmeli, numara verilmeli, ilk harf büyük olacak şekilde yazılmalı, çizelgede yer alan her bir değer bir hücre içinde yer almalı</w:t>
      </w:r>
      <w:r w:rsidR="00031AEC">
        <w:rPr>
          <w:rFonts w:eastAsia="Times New Roman" w:cstheme="minorHAnsi"/>
          <w:color w:val="3C4858"/>
          <w:sz w:val="24"/>
          <w:szCs w:val="24"/>
          <w:lang w:eastAsia="tr-TR"/>
        </w:rPr>
        <w:t>dır</w:t>
      </w:r>
      <w:bookmarkStart w:id="0" w:name="_GoBack"/>
      <w:bookmarkEnd w:id="0"/>
      <w:r w:rsidRPr="00096EF6">
        <w:rPr>
          <w:rFonts w:eastAsia="Times New Roman" w:cstheme="minorHAnsi"/>
          <w:color w:val="3C4858"/>
          <w:sz w:val="24"/>
          <w:szCs w:val="24"/>
          <w:lang w:eastAsia="tr-TR"/>
        </w:rPr>
        <w:t>,</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Şekil başlıkları, şeklin altında belirtilmeli, numara verilmeli, ilk harf büyük olacak şekilde yazılmalı, Grafikler resim şeklinde olmamalı, kitap formatına uygun olacak şekilde düzenlenebilir olmalıdır.</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 xml:space="preserve">Kısaltma ve birimlerde, Uluslararası geçerli olan kısaltmalar kullanılmalıdır. Örnek: Metre: m, Kilogram: kg, Saniye: s, Dakika: </w:t>
      </w:r>
      <w:proofErr w:type="spellStart"/>
      <w:r w:rsidRPr="00096EF6">
        <w:rPr>
          <w:rFonts w:eastAsia="Times New Roman" w:cstheme="minorHAnsi"/>
          <w:color w:val="3C4858"/>
          <w:sz w:val="24"/>
          <w:szCs w:val="24"/>
          <w:lang w:eastAsia="tr-TR"/>
        </w:rPr>
        <w:t>dak</w:t>
      </w:r>
      <w:proofErr w:type="spellEnd"/>
      <w:r w:rsidRPr="00096EF6">
        <w:rPr>
          <w:rFonts w:eastAsia="Times New Roman" w:cstheme="minorHAnsi"/>
          <w:color w:val="3C4858"/>
          <w:sz w:val="24"/>
          <w:szCs w:val="24"/>
          <w:lang w:eastAsia="tr-TR"/>
        </w:rPr>
        <w:t>, Amper: A, metre kare: m</w:t>
      </w:r>
      <w:r w:rsidRPr="00096EF6">
        <w:rPr>
          <w:rFonts w:eastAsia="Times New Roman" w:cstheme="minorHAnsi"/>
          <w:color w:val="3C4858"/>
          <w:sz w:val="24"/>
          <w:szCs w:val="24"/>
          <w:vertAlign w:val="superscript"/>
          <w:lang w:eastAsia="tr-TR"/>
        </w:rPr>
        <w:t>2</w:t>
      </w:r>
      <w:r w:rsidRPr="00096EF6">
        <w:rPr>
          <w:rFonts w:eastAsia="Times New Roman" w:cstheme="minorHAnsi"/>
          <w:color w:val="3C4858"/>
          <w:sz w:val="24"/>
          <w:szCs w:val="24"/>
          <w:lang w:eastAsia="tr-TR"/>
        </w:rPr>
        <w:t>, metre küp: m</w:t>
      </w:r>
      <w:r w:rsidRPr="00096EF6">
        <w:rPr>
          <w:rFonts w:eastAsia="Times New Roman" w:cstheme="minorHAnsi"/>
          <w:color w:val="3C4858"/>
          <w:sz w:val="24"/>
          <w:szCs w:val="24"/>
          <w:vertAlign w:val="superscript"/>
          <w:lang w:eastAsia="tr-TR"/>
        </w:rPr>
        <w:t>3</w:t>
      </w:r>
      <w:r w:rsidRPr="00096EF6">
        <w:rPr>
          <w:rFonts w:eastAsia="Times New Roman" w:cstheme="minorHAnsi"/>
          <w:color w:val="3C4858"/>
          <w:sz w:val="24"/>
          <w:szCs w:val="24"/>
          <w:lang w:eastAsia="tr-TR"/>
        </w:rPr>
        <w:t>, Hertz: Hz</w:t>
      </w:r>
    </w:p>
    <w:p w:rsidR="00096EF6" w:rsidRPr="00096EF6" w:rsidRDefault="00096EF6" w:rsidP="00096EF6">
      <w:pPr>
        <w:numPr>
          <w:ilvl w:val="0"/>
          <w:numId w:val="1"/>
        </w:numPr>
        <w:shd w:val="clear" w:color="auto" w:fill="FFFFFF"/>
        <w:spacing w:before="100" w:beforeAutospacing="1" w:after="100" w:afterAutospacing="1"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Kaynaklar alfabetik olarak ve yazarların soyadlarına göre sıralanmalı, tüm kaynaklar aşağıdaki kurallara göre yazılmalıdır.</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Dergi makalesi:</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proofErr w:type="spellStart"/>
      <w:r w:rsidRPr="00096EF6">
        <w:rPr>
          <w:rFonts w:eastAsia="Times New Roman" w:cstheme="minorHAnsi"/>
          <w:color w:val="3C4858"/>
          <w:sz w:val="24"/>
          <w:szCs w:val="24"/>
          <w:lang w:eastAsia="tr-TR"/>
        </w:rPr>
        <w:t>Cozzolino</w:t>
      </w:r>
      <w:proofErr w:type="spellEnd"/>
      <w:r w:rsidRPr="00096EF6">
        <w:rPr>
          <w:rFonts w:eastAsia="Times New Roman" w:cstheme="minorHAnsi"/>
          <w:color w:val="3C4858"/>
          <w:sz w:val="24"/>
          <w:szCs w:val="24"/>
          <w:lang w:eastAsia="tr-TR"/>
        </w:rPr>
        <w:t xml:space="preserve"> D, </w:t>
      </w:r>
      <w:proofErr w:type="spellStart"/>
      <w:r w:rsidRPr="00096EF6">
        <w:rPr>
          <w:rFonts w:eastAsia="Times New Roman" w:cstheme="minorHAnsi"/>
          <w:color w:val="3C4858"/>
          <w:sz w:val="24"/>
          <w:szCs w:val="24"/>
          <w:lang w:eastAsia="tr-TR"/>
        </w:rPr>
        <w:t>Corbella</w:t>
      </w:r>
      <w:proofErr w:type="spellEnd"/>
      <w:r w:rsidRPr="00096EF6">
        <w:rPr>
          <w:rFonts w:eastAsia="Times New Roman" w:cstheme="minorHAnsi"/>
          <w:color w:val="3C4858"/>
          <w:sz w:val="24"/>
          <w:szCs w:val="24"/>
          <w:lang w:eastAsia="tr-TR"/>
        </w:rPr>
        <w:t xml:space="preserve"> E, </w:t>
      </w:r>
      <w:proofErr w:type="spellStart"/>
      <w:r w:rsidRPr="00096EF6">
        <w:rPr>
          <w:rFonts w:eastAsia="Times New Roman" w:cstheme="minorHAnsi"/>
          <w:color w:val="3C4858"/>
          <w:sz w:val="24"/>
          <w:szCs w:val="24"/>
          <w:lang w:eastAsia="tr-TR"/>
        </w:rPr>
        <w:t>Smyth</w:t>
      </w:r>
      <w:proofErr w:type="spellEnd"/>
      <w:r w:rsidRPr="00096EF6">
        <w:rPr>
          <w:rFonts w:eastAsia="Times New Roman" w:cstheme="minorHAnsi"/>
          <w:color w:val="3C4858"/>
          <w:sz w:val="24"/>
          <w:szCs w:val="24"/>
          <w:lang w:eastAsia="tr-TR"/>
        </w:rPr>
        <w:t xml:space="preserve"> HE. 2011. </w:t>
      </w:r>
      <w:proofErr w:type="spellStart"/>
      <w:r w:rsidRPr="00096EF6">
        <w:rPr>
          <w:rFonts w:eastAsia="Times New Roman" w:cstheme="minorHAnsi"/>
          <w:color w:val="3C4858"/>
          <w:sz w:val="24"/>
          <w:szCs w:val="24"/>
          <w:lang w:eastAsia="tr-TR"/>
        </w:rPr>
        <w:t>Quality</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control</w:t>
      </w:r>
      <w:proofErr w:type="spellEnd"/>
      <w:r w:rsidRPr="00096EF6">
        <w:rPr>
          <w:rFonts w:eastAsia="Times New Roman" w:cstheme="minorHAnsi"/>
          <w:color w:val="3C4858"/>
          <w:sz w:val="24"/>
          <w:szCs w:val="24"/>
          <w:lang w:eastAsia="tr-TR"/>
        </w:rPr>
        <w:t xml:space="preserve"> of </w:t>
      </w:r>
      <w:proofErr w:type="spellStart"/>
      <w:r w:rsidRPr="00096EF6">
        <w:rPr>
          <w:rFonts w:eastAsia="Times New Roman" w:cstheme="minorHAnsi"/>
          <w:color w:val="3C4858"/>
          <w:sz w:val="24"/>
          <w:szCs w:val="24"/>
          <w:lang w:eastAsia="tr-TR"/>
        </w:rPr>
        <w:t>honey</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using</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infrared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spectroscopy</w:t>
      </w:r>
      <w:proofErr w:type="spellEnd"/>
      <w:r w:rsidRPr="00096EF6">
        <w:rPr>
          <w:rFonts w:eastAsia="Times New Roman" w:cstheme="minorHAnsi"/>
          <w:color w:val="3C4858"/>
          <w:sz w:val="24"/>
          <w:szCs w:val="24"/>
          <w:lang w:eastAsia="tr-TR"/>
        </w:rPr>
        <w:t xml:space="preserve">: A </w:t>
      </w:r>
      <w:proofErr w:type="spellStart"/>
      <w:r w:rsidRPr="00096EF6">
        <w:rPr>
          <w:rFonts w:eastAsia="Times New Roman" w:cstheme="minorHAnsi"/>
          <w:color w:val="3C4858"/>
          <w:sz w:val="24"/>
          <w:szCs w:val="24"/>
          <w:lang w:eastAsia="tr-TR"/>
        </w:rPr>
        <w:t>review</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Applied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Spectroscopy</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Reviews</w:t>
      </w:r>
      <w:proofErr w:type="spellEnd"/>
      <w:r w:rsidRPr="00096EF6">
        <w:rPr>
          <w:rFonts w:eastAsia="Times New Roman" w:cstheme="minorHAnsi"/>
          <w:color w:val="3C4858"/>
          <w:sz w:val="24"/>
          <w:szCs w:val="24"/>
          <w:lang w:eastAsia="tr-TR"/>
        </w:rPr>
        <w:t xml:space="preserve">, 46(7): 523-538. </w:t>
      </w:r>
      <w:proofErr w:type="spellStart"/>
      <w:r w:rsidRPr="00096EF6">
        <w:rPr>
          <w:rFonts w:eastAsia="Times New Roman" w:cstheme="minorHAnsi"/>
          <w:color w:val="3C4858"/>
          <w:sz w:val="24"/>
          <w:szCs w:val="24"/>
          <w:lang w:eastAsia="tr-TR"/>
        </w:rPr>
        <w:t>doi</w:t>
      </w:r>
      <w:proofErr w:type="spellEnd"/>
      <w:r w:rsidRPr="00096EF6">
        <w:rPr>
          <w:rFonts w:eastAsia="Times New Roman" w:cstheme="minorHAnsi"/>
          <w:color w:val="3C4858"/>
          <w:sz w:val="24"/>
          <w:szCs w:val="24"/>
          <w:lang w:eastAsia="tr-TR"/>
        </w:rPr>
        <w:t xml:space="preserve">: </w:t>
      </w:r>
      <w:proofErr w:type="gramStart"/>
      <w:r w:rsidRPr="00096EF6">
        <w:rPr>
          <w:rFonts w:eastAsia="Times New Roman" w:cstheme="minorHAnsi"/>
          <w:color w:val="3C4858"/>
          <w:sz w:val="24"/>
          <w:szCs w:val="24"/>
          <w:lang w:eastAsia="tr-TR"/>
        </w:rPr>
        <w:t>10.1016</w:t>
      </w:r>
      <w:proofErr w:type="gramEnd"/>
      <w:r w:rsidRPr="00096EF6">
        <w:rPr>
          <w:rFonts w:eastAsia="Times New Roman" w:cstheme="minorHAnsi"/>
          <w:color w:val="3C4858"/>
          <w:sz w:val="24"/>
          <w:szCs w:val="24"/>
          <w:lang w:eastAsia="tr-TR"/>
        </w:rPr>
        <w:t>/j.fgb.2011.05.004</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Kitap:</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proofErr w:type="spellStart"/>
      <w:r w:rsidRPr="00096EF6">
        <w:rPr>
          <w:rFonts w:eastAsia="Times New Roman" w:cstheme="minorHAnsi"/>
          <w:color w:val="3C4858"/>
          <w:sz w:val="24"/>
          <w:szCs w:val="24"/>
          <w:lang w:eastAsia="tr-TR"/>
        </w:rPr>
        <w:lastRenderedPageBreak/>
        <w:t>Stuart</w:t>
      </w:r>
      <w:proofErr w:type="spellEnd"/>
      <w:r w:rsidRPr="00096EF6">
        <w:rPr>
          <w:rFonts w:eastAsia="Times New Roman" w:cstheme="minorHAnsi"/>
          <w:color w:val="3C4858"/>
          <w:sz w:val="24"/>
          <w:szCs w:val="24"/>
          <w:lang w:eastAsia="tr-TR"/>
        </w:rPr>
        <w:t xml:space="preserve"> B. 2004. </w:t>
      </w:r>
      <w:proofErr w:type="spellStart"/>
      <w:r w:rsidRPr="00096EF6">
        <w:rPr>
          <w:rFonts w:eastAsia="Times New Roman" w:cstheme="minorHAnsi"/>
          <w:color w:val="3C4858"/>
          <w:sz w:val="24"/>
          <w:szCs w:val="24"/>
          <w:lang w:eastAsia="tr-TR"/>
        </w:rPr>
        <w:t>Infrared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spectroscopy</w:t>
      </w:r>
      <w:proofErr w:type="spellEnd"/>
      <w:r w:rsidRPr="00096EF6">
        <w:rPr>
          <w:rFonts w:eastAsia="Times New Roman" w:cstheme="minorHAnsi"/>
          <w:color w:val="3C4858"/>
          <w:sz w:val="24"/>
          <w:szCs w:val="24"/>
          <w:lang w:eastAsia="tr-TR"/>
        </w:rPr>
        <w:t xml:space="preserve">: Fundamentals </w:t>
      </w:r>
      <w:proofErr w:type="spellStart"/>
      <w:r w:rsidRPr="00096EF6">
        <w:rPr>
          <w:rFonts w:eastAsia="Times New Roman" w:cstheme="minorHAnsi"/>
          <w:color w:val="3C4858"/>
          <w:sz w:val="24"/>
          <w:szCs w:val="24"/>
          <w:lang w:eastAsia="tr-TR"/>
        </w:rPr>
        <w:t>and</w:t>
      </w:r>
      <w:proofErr w:type="spellEnd"/>
      <w:r w:rsidRPr="00096EF6">
        <w:rPr>
          <w:rFonts w:eastAsia="Times New Roman" w:cstheme="minorHAnsi"/>
          <w:color w:val="3C4858"/>
          <w:sz w:val="24"/>
          <w:szCs w:val="24"/>
          <w:lang w:eastAsia="tr-TR"/>
        </w:rPr>
        <w:t xml:space="preserve"> Applications. </w:t>
      </w:r>
      <w:proofErr w:type="spellStart"/>
      <w:r w:rsidRPr="00096EF6">
        <w:rPr>
          <w:rFonts w:eastAsia="Times New Roman" w:cstheme="minorHAnsi"/>
          <w:color w:val="3C4858"/>
          <w:sz w:val="24"/>
          <w:szCs w:val="24"/>
          <w:lang w:eastAsia="tr-TR"/>
        </w:rPr>
        <w:t>Chichester</w:t>
      </w:r>
      <w:proofErr w:type="spellEnd"/>
      <w:r w:rsidRPr="00096EF6">
        <w:rPr>
          <w:rFonts w:eastAsia="Times New Roman" w:cstheme="minorHAnsi"/>
          <w:color w:val="3C4858"/>
          <w:sz w:val="24"/>
          <w:szCs w:val="24"/>
          <w:lang w:eastAsia="tr-TR"/>
        </w:rPr>
        <w:t>, UK, 221 s. ISBN 0-88815-605-4.</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Kitap Bölümü:</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 xml:space="preserve">Taşkın H, </w:t>
      </w:r>
      <w:proofErr w:type="spellStart"/>
      <w:r w:rsidRPr="00096EF6">
        <w:rPr>
          <w:rFonts w:eastAsia="Times New Roman" w:cstheme="minorHAnsi"/>
          <w:color w:val="3C4858"/>
          <w:sz w:val="24"/>
          <w:szCs w:val="24"/>
          <w:lang w:eastAsia="tr-TR"/>
        </w:rPr>
        <w:t>Büyükalaca</w:t>
      </w:r>
      <w:proofErr w:type="spellEnd"/>
      <w:r w:rsidRPr="00096EF6">
        <w:rPr>
          <w:rFonts w:eastAsia="Times New Roman" w:cstheme="minorHAnsi"/>
          <w:color w:val="3C4858"/>
          <w:sz w:val="24"/>
          <w:szCs w:val="24"/>
          <w:lang w:eastAsia="tr-TR"/>
        </w:rPr>
        <w:t xml:space="preserve"> S. 2017. </w:t>
      </w:r>
      <w:proofErr w:type="spellStart"/>
      <w:r w:rsidRPr="00096EF6">
        <w:rPr>
          <w:rFonts w:eastAsia="Times New Roman" w:cstheme="minorHAnsi"/>
          <w:color w:val="3C4858"/>
          <w:sz w:val="24"/>
          <w:szCs w:val="24"/>
          <w:lang w:eastAsia="tr-TR"/>
        </w:rPr>
        <w:t>Minimally</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Processed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Mushrooms</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In</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Yildiz</w:t>
      </w:r>
      <w:proofErr w:type="spellEnd"/>
      <w:r w:rsidRPr="00096EF6">
        <w:rPr>
          <w:rFonts w:eastAsia="Times New Roman" w:cstheme="minorHAnsi"/>
          <w:color w:val="3C4858"/>
          <w:sz w:val="24"/>
          <w:szCs w:val="24"/>
          <w:lang w:eastAsia="tr-TR"/>
        </w:rPr>
        <w:t xml:space="preserve"> F, </w:t>
      </w:r>
      <w:proofErr w:type="spellStart"/>
      <w:r w:rsidRPr="00096EF6">
        <w:rPr>
          <w:rFonts w:eastAsia="Times New Roman" w:cstheme="minorHAnsi"/>
          <w:color w:val="3C4858"/>
          <w:sz w:val="24"/>
          <w:szCs w:val="24"/>
          <w:lang w:eastAsia="tr-TR"/>
        </w:rPr>
        <w:t>Wiley</w:t>
      </w:r>
      <w:proofErr w:type="spellEnd"/>
      <w:r w:rsidRPr="00096EF6">
        <w:rPr>
          <w:rFonts w:eastAsia="Times New Roman" w:cstheme="minorHAnsi"/>
          <w:color w:val="3C4858"/>
          <w:sz w:val="24"/>
          <w:szCs w:val="24"/>
          <w:lang w:eastAsia="tr-TR"/>
        </w:rPr>
        <w:t xml:space="preserve"> RC (</w:t>
      </w:r>
      <w:proofErr w:type="spellStart"/>
      <w:r w:rsidRPr="00096EF6">
        <w:rPr>
          <w:rFonts w:eastAsia="Times New Roman" w:cstheme="minorHAnsi"/>
          <w:color w:val="3C4858"/>
          <w:sz w:val="24"/>
          <w:szCs w:val="24"/>
          <w:lang w:eastAsia="tr-TR"/>
        </w:rPr>
        <w:t>editors</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Minimally</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Processed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Refrigerated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Fruits</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and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Vegetables</w:t>
      </w:r>
      <w:proofErr w:type="spellEnd"/>
      <w:r w:rsidRPr="00096EF6">
        <w:rPr>
          <w:rFonts w:eastAsia="Times New Roman" w:cstheme="minorHAnsi"/>
          <w:color w:val="3C4858"/>
          <w:sz w:val="24"/>
          <w:szCs w:val="24"/>
          <w:lang w:eastAsia="tr-TR"/>
        </w:rPr>
        <w:t xml:space="preserve">. Boston, MA: </w:t>
      </w:r>
      <w:proofErr w:type="spellStart"/>
      <w:r w:rsidRPr="00096EF6">
        <w:rPr>
          <w:rFonts w:eastAsia="Times New Roman" w:cstheme="minorHAnsi"/>
          <w:color w:val="3C4858"/>
          <w:sz w:val="24"/>
          <w:szCs w:val="24"/>
          <w:lang w:eastAsia="tr-TR"/>
        </w:rPr>
        <w:t>Food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Engineering</w:t>
      </w:r>
      <w:proofErr w:type="spellEnd"/>
      <w:r w:rsidRPr="00096EF6">
        <w:rPr>
          <w:rFonts w:eastAsia="Times New Roman" w:cstheme="minorHAnsi"/>
          <w:color w:val="3C4858"/>
          <w:sz w:val="24"/>
          <w:szCs w:val="24"/>
          <w:lang w:eastAsia="tr-TR"/>
        </w:rPr>
        <w:t xml:space="preserve"> Series, </w:t>
      </w:r>
      <w:proofErr w:type="spellStart"/>
      <w:r w:rsidRPr="00096EF6">
        <w:rPr>
          <w:rFonts w:eastAsia="Times New Roman" w:cstheme="minorHAnsi"/>
          <w:color w:val="3C4858"/>
          <w:sz w:val="24"/>
          <w:szCs w:val="24"/>
          <w:lang w:eastAsia="tr-TR"/>
        </w:rPr>
        <w:t>Springer</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pp</w:t>
      </w:r>
      <w:proofErr w:type="spellEnd"/>
      <w:r w:rsidRPr="00096EF6">
        <w:rPr>
          <w:rFonts w:eastAsia="Times New Roman" w:cstheme="minorHAnsi"/>
          <w:color w:val="3C4858"/>
          <w:sz w:val="24"/>
          <w:szCs w:val="24"/>
          <w:lang w:eastAsia="tr-TR"/>
        </w:rPr>
        <w:t>. 433-468. ISBN: 978-1-4939-7016-2 (</w:t>
      </w:r>
      <w:proofErr w:type="spellStart"/>
      <w:r w:rsidRPr="00096EF6">
        <w:rPr>
          <w:rFonts w:eastAsia="Times New Roman" w:cstheme="minorHAnsi"/>
          <w:color w:val="3C4858"/>
          <w:sz w:val="24"/>
          <w:szCs w:val="24"/>
          <w:lang w:eastAsia="tr-TR"/>
        </w:rPr>
        <w:t>Print</w:t>
      </w:r>
      <w:proofErr w:type="spellEnd"/>
      <w:r w:rsidRPr="00096EF6">
        <w:rPr>
          <w:rFonts w:eastAsia="Times New Roman" w:cstheme="minorHAnsi"/>
          <w:color w:val="3C4858"/>
          <w:sz w:val="24"/>
          <w:szCs w:val="24"/>
          <w:lang w:eastAsia="tr-TR"/>
        </w:rPr>
        <w:t>) 978-1-4939-7018-6 (Online).</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Kongre bildirisi:</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proofErr w:type="spellStart"/>
      <w:r w:rsidRPr="00096EF6">
        <w:rPr>
          <w:rFonts w:eastAsia="Times New Roman" w:cstheme="minorHAnsi"/>
          <w:color w:val="3C4858"/>
          <w:sz w:val="24"/>
          <w:szCs w:val="24"/>
          <w:lang w:eastAsia="tr-TR"/>
        </w:rPr>
        <w:t>Koc</w:t>
      </w:r>
      <w:proofErr w:type="spellEnd"/>
      <w:r w:rsidRPr="00096EF6">
        <w:rPr>
          <w:rFonts w:eastAsia="Times New Roman" w:cstheme="minorHAnsi"/>
          <w:color w:val="3C4858"/>
          <w:sz w:val="24"/>
          <w:szCs w:val="24"/>
          <w:lang w:eastAsia="tr-TR"/>
        </w:rPr>
        <w:t xml:space="preserve"> M, Sakin M, Kaymak-Ertekin F, </w:t>
      </w:r>
      <w:proofErr w:type="spellStart"/>
      <w:r w:rsidRPr="00096EF6">
        <w:rPr>
          <w:rFonts w:eastAsia="Times New Roman" w:cstheme="minorHAnsi"/>
          <w:color w:val="3C4858"/>
          <w:sz w:val="24"/>
          <w:szCs w:val="24"/>
          <w:lang w:eastAsia="tr-TR"/>
        </w:rPr>
        <w:t>Bagdatlioglu</w:t>
      </w:r>
      <w:proofErr w:type="spellEnd"/>
      <w:r w:rsidRPr="00096EF6">
        <w:rPr>
          <w:rFonts w:eastAsia="Times New Roman" w:cstheme="minorHAnsi"/>
          <w:color w:val="3C4858"/>
          <w:sz w:val="24"/>
          <w:szCs w:val="24"/>
          <w:lang w:eastAsia="tr-TR"/>
        </w:rPr>
        <w:t xml:space="preserve"> N. 2010. </w:t>
      </w:r>
      <w:proofErr w:type="spellStart"/>
      <w:r w:rsidRPr="00096EF6">
        <w:rPr>
          <w:rFonts w:eastAsia="Times New Roman" w:cstheme="minorHAnsi"/>
          <w:color w:val="3C4858"/>
          <w:sz w:val="24"/>
          <w:szCs w:val="24"/>
          <w:lang w:eastAsia="tr-TR"/>
        </w:rPr>
        <w:t>The</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effect</w:t>
      </w:r>
      <w:proofErr w:type="spellEnd"/>
      <w:r w:rsidRPr="00096EF6">
        <w:rPr>
          <w:rFonts w:eastAsia="Times New Roman" w:cstheme="minorHAnsi"/>
          <w:color w:val="3C4858"/>
          <w:sz w:val="24"/>
          <w:szCs w:val="24"/>
          <w:lang w:eastAsia="tr-TR"/>
        </w:rPr>
        <w:t xml:space="preserve"> of </w:t>
      </w:r>
      <w:proofErr w:type="spellStart"/>
      <w:r w:rsidRPr="00096EF6">
        <w:rPr>
          <w:rFonts w:eastAsia="Times New Roman" w:cstheme="minorHAnsi"/>
          <w:color w:val="3C4858"/>
          <w:sz w:val="24"/>
          <w:szCs w:val="24"/>
          <w:lang w:eastAsia="tr-TR"/>
        </w:rPr>
        <w:t>spray</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drying</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processing</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conditions</w:t>
      </w:r>
      <w:proofErr w:type="spellEnd"/>
      <w:r w:rsidRPr="00096EF6">
        <w:rPr>
          <w:rFonts w:eastAsia="Times New Roman" w:cstheme="minorHAnsi"/>
          <w:color w:val="3C4858"/>
          <w:sz w:val="24"/>
          <w:szCs w:val="24"/>
          <w:lang w:eastAsia="tr-TR"/>
        </w:rPr>
        <w:t xml:space="preserve"> on </w:t>
      </w:r>
      <w:proofErr w:type="spellStart"/>
      <w:r w:rsidRPr="00096EF6">
        <w:rPr>
          <w:rFonts w:eastAsia="Times New Roman" w:cstheme="minorHAnsi"/>
          <w:color w:val="3C4858"/>
          <w:sz w:val="24"/>
          <w:szCs w:val="24"/>
          <w:lang w:eastAsia="tr-TR"/>
        </w:rPr>
        <w:t>the</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functional</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properties</w:t>
      </w:r>
      <w:proofErr w:type="spellEnd"/>
      <w:r w:rsidRPr="00096EF6">
        <w:rPr>
          <w:rFonts w:eastAsia="Times New Roman" w:cstheme="minorHAnsi"/>
          <w:color w:val="3C4858"/>
          <w:sz w:val="24"/>
          <w:szCs w:val="24"/>
          <w:lang w:eastAsia="tr-TR"/>
        </w:rPr>
        <w:t xml:space="preserve"> of </w:t>
      </w:r>
      <w:proofErr w:type="spellStart"/>
      <w:r w:rsidRPr="00096EF6">
        <w:rPr>
          <w:rFonts w:eastAsia="Times New Roman" w:cstheme="minorHAnsi"/>
          <w:color w:val="3C4858"/>
          <w:sz w:val="24"/>
          <w:szCs w:val="24"/>
          <w:lang w:eastAsia="tr-TR"/>
        </w:rPr>
        <w:t>egg</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powder</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Centre</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European</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Congress</w:t>
      </w:r>
      <w:proofErr w:type="spellEnd"/>
      <w:r w:rsidRPr="00096EF6">
        <w:rPr>
          <w:rFonts w:eastAsia="Times New Roman" w:cstheme="minorHAnsi"/>
          <w:color w:val="3C4858"/>
          <w:sz w:val="24"/>
          <w:szCs w:val="24"/>
          <w:lang w:eastAsia="tr-TR"/>
        </w:rPr>
        <w:t xml:space="preserve"> on </w:t>
      </w:r>
      <w:proofErr w:type="spellStart"/>
      <w:r w:rsidRPr="00096EF6">
        <w:rPr>
          <w:rFonts w:eastAsia="Times New Roman" w:cstheme="minorHAnsi"/>
          <w:color w:val="3C4858"/>
          <w:sz w:val="24"/>
          <w:szCs w:val="24"/>
          <w:lang w:eastAsia="tr-TR"/>
        </w:rPr>
        <w:t>Food</w:t>
      </w:r>
      <w:proofErr w:type="spellEnd"/>
      <w:r w:rsidRPr="00096EF6">
        <w:rPr>
          <w:rFonts w:eastAsia="Times New Roman" w:cstheme="minorHAnsi"/>
          <w:color w:val="3C4858"/>
          <w:sz w:val="24"/>
          <w:szCs w:val="24"/>
          <w:lang w:eastAsia="tr-TR"/>
        </w:rPr>
        <w:t xml:space="preserve"> 18-22 May 2010, Bratislava, SK.</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Tezler:</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proofErr w:type="spellStart"/>
      <w:r w:rsidRPr="00096EF6">
        <w:rPr>
          <w:rFonts w:eastAsia="Times New Roman" w:cstheme="minorHAnsi"/>
          <w:color w:val="3C4858"/>
          <w:sz w:val="24"/>
          <w:szCs w:val="24"/>
          <w:lang w:eastAsia="tr-TR"/>
        </w:rPr>
        <w:t>Kılınç</w:t>
      </w:r>
      <w:proofErr w:type="spellEnd"/>
      <w:r w:rsidRPr="00096EF6">
        <w:rPr>
          <w:rFonts w:eastAsia="Times New Roman" w:cstheme="minorHAnsi"/>
          <w:color w:val="3C4858"/>
          <w:sz w:val="24"/>
          <w:szCs w:val="24"/>
          <w:lang w:eastAsia="tr-TR"/>
        </w:rPr>
        <w:t xml:space="preserve"> GS. 2022. Nar Ekşilerine Şeker Şurupları İlavesi ile Yapılan Tağşişin FTIR-ATR Spektroskopisi ile Belirlenmesi. </w:t>
      </w:r>
      <w:proofErr w:type="gramStart"/>
      <w:r w:rsidRPr="00096EF6">
        <w:rPr>
          <w:rFonts w:eastAsia="Times New Roman" w:cstheme="minorHAnsi"/>
          <w:color w:val="3C4858"/>
          <w:sz w:val="24"/>
          <w:szCs w:val="24"/>
          <w:lang w:eastAsia="tr-TR"/>
        </w:rPr>
        <w:t>Yüksek Lisans Tezi. Manisa Celal Bayar Üniversitesi, Fen Bilimleri Enstitüsü, Manisa, Türkiye.</w:t>
      </w:r>
      <w:proofErr w:type="gramEnd"/>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İnternet Kaynakları:</w:t>
      </w:r>
    </w:p>
    <w:p w:rsidR="00096EF6" w:rsidRPr="00096EF6" w:rsidRDefault="00096EF6" w:rsidP="00096EF6">
      <w:pPr>
        <w:shd w:val="clear" w:color="auto" w:fill="FFFFFF"/>
        <w:spacing w:after="225" w:line="240" w:lineRule="auto"/>
        <w:jc w:val="both"/>
        <w:rPr>
          <w:rFonts w:eastAsia="Times New Roman" w:cstheme="minorHAnsi"/>
          <w:color w:val="3C4858"/>
          <w:sz w:val="24"/>
          <w:szCs w:val="24"/>
          <w:lang w:eastAsia="tr-TR"/>
        </w:rPr>
      </w:pPr>
      <w:r w:rsidRPr="00096EF6">
        <w:rPr>
          <w:rFonts w:eastAsia="Times New Roman" w:cstheme="minorHAnsi"/>
          <w:color w:val="3C4858"/>
          <w:sz w:val="24"/>
          <w:szCs w:val="24"/>
          <w:lang w:eastAsia="tr-TR"/>
        </w:rPr>
        <w:t xml:space="preserve">FAO, 2017. </w:t>
      </w:r>
      <w:proofErr w:type="spellStart"/>
      <w:r w:rsidRPr="00096EF6">
        <w:rPr>
          <w:rFonts w:eastAsia="Times New Roman" w:cstheme="minorHAnsi"/>
          <w:color w:val="3C4858"/>
          <w:sz w:val="24"/>
          <w:szCs w:val="24"/>
          <w:lang w:eastAsia="tr-TR"/>
        </w:rPr>
        <w:t>Food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and</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Agriculture</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Organization</w:t>
      </w:r>
      <w:proofErr w:type="spellEnd"/>
      <w:r w:rsidRPr="00096EF6">
        <w:rPr>
          <w:rFonts w:eastAsia="Times New Roman" w:cstheme="minorHAnsi"/>
          <w:color w:val="3C4858"/>
          <w:sz w:val="24"/>
          <w:szCs w:val="24"/>
          <w:lang w:eastAsia="tr-TR"/>
        </w:rPr>
        <w:t xml:space="preserve"> of </w:t>
      </w:r>
      <w:proofErr w:type="spellStart"/>
      <w:r w:rsidRPr="00096EF6">
        <w:rPr>
          <w:rFonts w:eastAsia="Times New Roman" w:cstheme="minorHAnsi"/>
          <w:color w:val="3C4858"/>
          <w:sz w:val="24"/>
          <w:szCs w:val="24"/>
          <w:lang w:eastAsia="tr-TR"/>
        </w:rPr>
        <w:t>the</w:t>
      </w:r>
      <w:proofErr w:type="spellEnd"/>
      <w:r w:rsidRPr="00096EF6">
        <w:rPr>
          <w:rFonts w:eastAsia="Times New Roman" w:cstheme="minorHAnsi"/>
          <w:color w:val="3C4858"/>
          <w:sz w:val="24"/>
          <w:szCs w:val="24"/>
          <w:lang w:eastAsia="tr-TR"/>
        </w:rPr>
        <w:t xml:space="preserve"> United Nations. FAOSTAT. </w:t>
      </w:r>
      <w:proofErr w:type="spellStart"/>
      <w:r w:rsidRPr="00096EF6">
        <w:rPr>
          <w:rFonts w:eastAsia="Times New Roman" w:cstheme="minorHAnsi"/>
          <w:color w:val="3C4858"/>
          <w:sz w:val="24"/>
          <w:szCs w:val="24"/>
          <w:lang w:eastAsia="tr-TR"/>
        </w:rPr>
        <w:t>Available</w:t>
      </w:r>
      <w:proofErr w:type="spellEnd"/>
      <w:r w:rsidRPr="00096EF6">
        <w:rPr>
          <w:rFonts w:eastAsia="Times New Roman" w:cstheme="minorHAnsi"/>
          <w:color w:val="3C4858"/>
          <w:sz w:val="24"/>
          <w:szCs w:val="24"/>
          <w:lang w:eastAsia="tr-TR"/>
        </w:rPr>
        <w:t xml:space="preserve"> </w:t>
      </w:r>
      <w:proofErr w:type="spellStart"/>
      <w:r w:rsidRPr="00096EF6">
        <w:rPr>
          <w:rFonts w:eastAsia="Times New Roman" w:cstheme="minorHAnsi"/>
          <w:color w:val="3C4858"/>
          <w:sz w:val="24"/>
          <w:szCs w:val="24"/>
          <w:lang w:eastAsia="tr-TR"/>
        </w:rPr>
        <w:t>from</w:t>
      </w:r>
      <w:proofErr w:type="spellEnd"/>
      <w:r w:rsidRPr="00096EF6">
        <w:rPr>
          <w:rFonts w:eastAsia="Times New Roman" w:cstheme="minorHAnsi"/>
          <w:color w:val="3C4858"/>
          <w:sz w:val="24"/>
          <w:szCs w:val="24"/>
          <w:lang w:eastAsia="tr-TR"/>
        </w:rPr>
        <w:t>: http://www.fao.org/faostat/en/#</w:t>
      </w:r>
      <w:proofErr w:type="gramStart"/>
      <w:r w:rsidRPr="00096EF6">
        <w:rPr>
          <w:rFonts w:eastAsia="Times New Roman" w:cstheme="minorHAnsi"/>
          <w:color w:val="3C4858"/>
          <w:sz w:val="24"/>
          <w:szCs w:val="24"/>
          <w:lang w:eastAsia="tr-TR"/>
        </w:rPr>
        <w:t>data</w:t>
      </w:r>
      <w:proofErr w:type="gramEnd"/>
      <w:r w:rsidRPr="00096EF6">
        <w:rPr>
          <w:rFonts w:eastAsia="Times New Roman" w:cstheme="minorHAnsi"/>
          <w:color w:val="3C4858"/>
          <w:sz w:val="24"/>
          <w:szCs w:val="24"/>
          <w:lang w:eastAsia="tr-TR"/>
        </w:rPr>
        <w:t>/QC [</w:t>
      </w:r>
      <w:proofErr w:type="spellStart"/>
      <w:r w:rsidRPr="00096EF6">
        <w:rPr>
          <w:rFonts w:eastAsia="Times New Roman" w:cstheme="minorHAnsi"/>
          <w:color w:val="3C4858"/>
          <w:sz w:val="24"/>
          <w:szCs w:val="24"/>
          <w:lang w:eastAsia="tr-TR"/>
        </w:rPr>
        <w:t>Accessed</w:t>
      </w:r>
      <w:proofErr w:type="spellEnd"/>
      <w:r w:rsidRPr="00096EF6">
        <w:rPr>
          <w:rFonts w:eastAsia="Times New Roman" w:cstheme="minorHAnsi"/>
          <w:color w:val="3C4858"/>
          <w:sz w:val="24"/>
          <w:szCs w:val="24"/>
          <w:lang w:eastAsia="tr-TR"/>
        </w:rPr>
        <w:t xml:space="preserve"> 28 </w:t>
      </w:r>
      <w:proofErr w:type="spellStart"/>
      <w:r w:rsidRPr="00096EF6">
        <w:rPr>
          <w:rFonts w:eastAsia="Times New Roman" w:cstheme="minorHAnsi"/>
          <w:color w:val="3C4858"/>
          <w:sz w:val="24"/>
          <w:szCs w:val="24"/>
          <w:lang w:eastAsia="tr-TR"/>
        </w:rPr>
        <w:t>February</w:t>
      </w:r>
      <w:proofErr w:type="spellEnd"/>
      <w:r w:rsidRPr="00096EF6">
        <w:rPr>
          <w:rFonts w:eastAsia="Times New Roman" w:cstheme="minorHAnsi"/>
          <w:color w:val="3C4858"/>
          <w:sz w:val="24"/>
          <w:szCs w:val="24"/>
          <w:lang w:eastAsia="tr-TR"/>
        </w:rPr>
        <w:t xml:space="preserve"> 2022]</w:t>
      </w:r>
    </w:p>
    <w:p w:rsidR="002741D9" w:rsidRPr="00096EF6" w:rsidRDefault="002741D9" w:rsidP="00096EF6">
      <w:pPr>
        <w:jc w:val="both"/>
        <w:rPr>
          <w:rFonts w:cstheme="minorHAnsi"/>
          <w:sz w:val="24"/>
          <w:szCs w:val="24"/>
        </w:rPr>
      </w:pPr>
    </w:p>
    <w:sectPr w:rsidR="002741D9" w:rsidRPr="0009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6567"/>
    <w:multiLevelType w:val="multilevel"/>
    <w:tmpl w:val="DFB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B"/>
    <w:rsid w:val="00031AEC"/>
    <w:rsid w:val="00096EF6"/>
    <w:rsid w:val="002741D9"/>
    <w:rsid w:val="00BE3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5450-15F1-4D51-8FDE-1C8D44E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6E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9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Ergonul</dc:creator>
  <cp:keywords/>
  <dc:description/>
  <cp:lastModifiedBy>Bulent Ergonul</cp:lastModifiedBy>
  <cp:revision>3</cp:revision>
  <dcterms:created xsi:type="dcterms:W3CDTF">2023-12-01T09:30:00Z</dcterms:created>
  <dcterms:modified xsi:type="dcterms:W3CDTF">2023-12-01T09:40:00Z</dcterms:modified>
</cp:coreProperties>
</file>